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8752C" w14:textId="370D9C54" w:rsidR="00F041E4" w:rsidRPr="006B237D" w:rsidRDefault="000B34DC" w:rsidP="00650C8F">
      <w:pPr>
        <w:rPr>
          <w:rFonts w:asciiTheme="minorHAnsi" w:hAnsiTheme="minorHAnsi" w:cstheme="minorHAnsi"/>
          <w:color w:val="1B5A7D"/>
        </w:rPr>
      </w:pPr>
      <w:r w:rsidRPr="006B237D">
        <w:rPr>
          <w:rFonts w:asciiTheme="minorHAnsi" w:hAnsiTheme="minorHAnsi" w:cstheme="minorHAnsi"/>
          <w:color w:val="1B5A7D"/>
        </w:rPr>
        <w:t>Informacja prasowa</w:t>
      </w:r>
    </w:p>
    <w:p w14:paraId="41188F58" w14:textId="77777777" w:rsidR="000B34DC" w:rsidRPr="006B237D" w:rsidRDefault="000B34DC" w:rsidP="005920E3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40DDB6D8" w14:textId="77777777" w:rsidR="000B34DC" w:rsidRPr="006B237D" w:rsidRDefault="000B34DC" w:rsidP="005920E3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44DC97AC" w14:textId="10C2142E" w:rsidR="005920E3" w:rsidRPr="006B237D" w:rsidRDefault="00930172" w:rsidP="005920E3">
      <w:pPr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Budynek Cogiteonu odebrany od wykonawcy</w:t>
      </w:r>
    </w:p>
    <w:p w14:paraId="19A4B295" w14:textId="77777777" w:rsidR="000B34DC" w:rsidRPr="006B237D" w:rsidRDefault="000B34DC" w:rsidP="005920E3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5DB37973" w14:textId="77777777" w:rsidR="005920E3" w:rsidRPr="006B237D" w:rsidRDefault="005920E3" w:rsidP="005920E3">
      <w:pPr>
        <w:rPr>
          <w:rFonts w:asciiTheme="minorHAnsi" w:hAnsiTheme="minorHAnsi" w:cstheme="minorHAnsi"/>
          <w:b/>
          <w:bCs/>
        </w:rPr>
      </w:pPr>
      <w:r w:rsidRPr="006B237D">
        <w:rPr>
          <w:rFonts w:asciiTheme="minorHAnsi" w:hAnsiTheme="minorHAnsi" w:cstheme="minorHAnsi"/>
          <w:b/>
          <w:bCs/>
        </w:rPr>
        <w:t>Nowa siedziba Cogiteonu rosła w Czyżynach przez ostatnie 3 lata. Powstał obiekt z przestrzeniami edukacyjnymi, własnym parkiem i ogrodem na dachu. 5 kwietnia generalny wykonawca, firma Hochtief Polska S.A., oficjalnie przekazało inwestycję. Centrum będzie mogło działać w pełnym zakresie: m.in. z interaktywną wystawą stałą, laboratoriami i pracowniami edukacyjnymi.</w:t>
      </w:r>
    </w:p>
    <w:p w14:paraId="4947140F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>Cogiteon to już nie kilka pomieszczeń w kamienicy w centrum Krakowa i niewielki zespół edukatorów, którzy w kilka lat przeprowadzili pokazy dla ponad 118 tys. osób, w tym w ramach projektu dofinansowanego ze środków unijnych. Teraz Cogiteon to obiekt o powierzchni 14 tys. m</w:t>
      </w:r>
      <w:r w:rsidRPr="006B237D">
        <w:rPr>
          <w:rFonts w:asciiTheme="minorHAnsi" w:hAnsiTheme="minorHAnsi" w:cstheme="minorHAnsi"/>
          <w:vertAlign w:val="superscript"/>
        </w:rPr>
        <w:t>2</w:t>
      </w:r>
      <w:r w:rsidRPr="006B237D">
        <w:rPr>
          <w:rFonts w:asciiTheme="minorHAnsi" w:hAnsiTheme="minorHAnsi" w:cstheme="minorHAnsi"/>
        </w:rPr>
        <w:t xml:space="preserve"> powierzchni użytkowej, 2-hektarowy park oraz hektarowy ogród na dachu. W ramach inwestycji powstała interaktywna wystawa stała „Człowiek i jego marzenia”, osobna ekspozycja dla dzieci, a laboratoria zyskały profesjonalne wyposażenie. Cogiteon to także przestrzenie konferencyjne i eventowe, które mogą być wykorzystywane biznesowo.</w:t>
      </w:r>
    </w:p>
    <w:p w14:paraId="46D950C6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 xml:space="preserve">Budowa trwała od marca 2021 roku, a projekt architektoniczny narodził się 3 lata wcześniej. Sama koncepcja centrum jest jeszcze starsza. W międzynarodowym konkursie architektonicznym wygrała propozycja pracowni Heinle, Wischer und Partner. Zgodnie z nią centrum tworzą 4 pawilony, spięte wspólną elewacją. Budynek stopniowo wznosi się z poziomu gruntu od strony pasa startowego dawnego lotniska Rakowice-Czyżyny w stronę alei Bora-Komorowskiego. Znaczna jego część znajduje się pod ziemią. Na dachu rośnie 12 drzew. Są byliny, kwiaty, trawy, eksponaty plenerowe oraz ścieżki spacerowe z widokiem na Kraków. Dalszych prawie 300 drzew rośnie w parku, który powstał obok Cogiteonu. </w:t>
      </w:r>
    </w:p>
    <w:p w14:paraId="19FCA728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 xml:space="preserve">W obiekcie zastosowano unikalne rozwiązanie pompy ciepła, która współpracuje ze zbiornikiem lodu, aby zapewnić ogrzewanie i chłodzenie. Zbiornik, który może pomieścić około 860 tys. litrów wody, sąsiaduje z kolejnym – drugi rezerwuar gromadzi deszczówkę wykorzystywaną do podlewania roślin </w:t>
      </w:r>
      <w:r w:rsidRPr="006B237D">
        <w:rPr>
          <w:rFonts w:asciiTheme="minorHAnsi" w:hAnsiTheme="minorHAnsi" w:cstheme="minorHAnsi"/>
        </w:rPr>
        <w:lastRenderedPageBreak/>
        <w:t>na dachu. Oprócz tego działa inteligentny system sterowania urządzeniami BMS, a ledowe oświetlenie funkcjonuje w energooszczędnym systemie DALI.</w:t>
      </w:r>
    </w:p>
    <w:p w14:paraId="0CA55A3D" w14:textId="77777777" w:rsidR="005920E3" w:rsidRPr="006B237D" w:rsidRDefault="005920E3" w:rsidP="005920E3">
      <w:pPr>
        <w:rPr>
          <w:rFonts w:asciiTheme="minorHAnsi" w:hAnsiTheme="minorHAnsi" w:cstheme="minorHAnsi"/>
          <w:b/>
          <w:bCs/>
        </w:rPr>
      </w:pPr>
      <w:r w:rsidRPr="006B237D">
        <w:rPr>
          <w:rFonts w:asciiTheme="minorHAnsi" w:hAnsiTheme="minorHAnsi" w:cstheme="minorHAnsi"/>
          <w:b/>
          <w:bCs/>
        </w:rPr>
        <w:t>Cogiteon zapowiada lato</w:t>
      </w:r>
    </w:p>
    <w:p w14:paraId="3E838C2F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>Na tę datę czekało wielu. Cogiteon planuje rozłożone na dwa dni otwarcie. Oficjalne rozpoczęcie działalności z wyjątkowymi koncertami oraz wykładami zaplanowane jest na 21 i 22 czerwca. W niemal najkrótszą noc roku odbędzie się także mapping na elewacji. Już teraz dostępne bez ograniczeń są zielone przestrzenie rekreacyjne.</w:t>
      </w:r>
    </w:p>
    <w:p w14:paraId="57A5BF7D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>W Cogiteonie są 4 laboratoria: Smaków (z wyposażeniem kuchennym), Reakcji (chemiczne), Cząstek (fizyczne) oraz Przyrody (z własną szklarnią, wiwariami, akwariami oraz makietą doliny rzecznej i spektakularnym torem wodnym). Oprócz nich działać będą dwie pracownie: Techniki oraz Innowacji. Obok znajduje się rozlokowana na ponad 2,2 tys. m</w:t>
      </w:r>
      <w:r w:rsidRPr="006B237D">
        <w:rPr>
          <w:rFonts w:asciiTheme="minorHAnsi" w:hAnsiTheme="minorHAnsi" w:cstheme="minorHAnsi"/>
          <w:vertAlign w:val="superscript"/>
        </w:rPr>
        <w:t>2</w:t>
      </w:r>
      <w:r w:rsidRPr="006B237D">
        <w:rPr>
          <w:rFonts w:asciiTheme="minorHAnsi" w:hAnsiTheme="minorHAnsi" w:cstheme="minorHAnsi"/>
        </w:rPr>
        <w:t xml:space="preserve"> interaktywna wystawa stała z ponad setką urządzeń przeznaczonych do samodzielnego eksperymentowania.</w:t>
      </w:r>
    </w:p>
    <w:p w14:paraId="0CB00524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>W Cogiteonie będzie też multimedialna, immersyjna Strefa Emocji, wystawa o przyrodzie dedykowana przedszkolakom, naukowy sklep Cekwadrat, sale konferencyjne Eon, Idea i Logika, eventowa sala Cogito oraz restauracja prowadzona przez wybitnego szefa kuchni Andrzeja Polana.</w:t>
      </w:r>
    </w:p>
    <w:p w14:paraId="57C1EAAD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>Do początku lata instytucja rozlokuje się w nowym obiekcie, aby prowadzić testy, przygotować ostateczne scenariusze zajęć i je prototypować. Poszczególne przestrzenie będą zyskiwały docelowy wygląd. Generalny wykonawca, w ramach obowiązującego kontraktu, zobowiązany jest też do usuwania usterek zgłoszonych przez komisje odbiorowe.</w:t>
      </w:r>
    </w:p>
    <w:p w14:paraId="4554DC51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>Jeszcze w tym roku Cogiteon planuje cykl kosmicznych spotkań i warsztatów, organizację eventów z kuchnią molekularną, kilka wystaw w ramach ścieżki „Zrównoważona przyszłość”, a w dalszej perspektywie organizację Festiwalu Snów, co nawiązuje do jednego z eksponatów wystawy stałej.</w:t>
      </w:r>
    </w:p>
    <w:p w14:paraId="6394F7B9" w14:textId="77777777" w:rsidR="005920E3" w:rsidRPr="006B237D" w:rsidRDefault="005920E3" w:rsidP="005920E3">
      <w:pPr>
        <w:rPr>
          <w:rFonts w:asciiTheme="minorHAnsi" w:hAnsiTheme="minorHAnsi" w:cstheme="minorHAnsi"/>
          <w:b/>
          <w:bCs/>
        </w:rPr>
      </w:pPr>
      <w:r w:rsidRPr="006B237D">
        <w:rPr>
          <w:rFonts w:asciiTheme="minorHAnsi" w:hAnsiTheme="minorHAnsi" w:cstheme="minorHAnsi"/>
          <w:b/>
          <w:bCs/>
        </w:rPr>
        <w:t>Cogiteon z unijnym wsparciem</w:t>
      </w:r>
    </w:p>
    <w:p w14:paraId="64F06E6A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>Całkowity koszt inwestycji wyniósł 284 mln zł, z czego prawie 3/4 stanowi koszt prac budowlanych wraz z zagospodarowaniem terenu parkowego. Generalny wykonawca realizował kontrakt w trudnym okresie pandemii oraz wojny w Ukrainie, czego efektem była wysoka inflacja oraz problemy z dostępem do materiałów budowlanych. W trakcie budowy odkryto niemiecki schron paliwowy z okresu II wojny światowej, który ostatecznie udało się wkomponować w przestrzenie zielone.</w:t>
      </w:r>
    </w:p>
    <w:p w14:paraId="76C8BC29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lastRenderedPageBreak/>
        <w:t>Cogiteon powstał nie jako budynek, ale jako w pełni wyposażona instytucja. Z eksponatami, które powstały na specjalne zamówienie. Z laboratoriami w których działa specjalistyczny sprzęt: m.in. dygestoria, komory laminarne, drukarki 3D. Z warsztatem w którym jest m.in. maszyna do cięcia z użyciem wody pod wysokim ciśnieniem. To wyposażenie kosztowało ponad 35 mln zł.</w:t>
      </w:r>
    </w:p>
    <w:p w14:paraId="0DE76111" w14:textId="77777777" w:rsidR="005920E3" w:rsidRPr="006B237D" w:rsidRDefault="005920E3" w:rsidP="005920E3">
      <w:pPr>
        <w:rPr>
          <w:rFonts w:asciiTheme="minorHAnsi" w:hAnsiTheme="minorHAnsi" w:cstheme="minorHAnsi"/>
        </w:rPr>
      </w:pPr>
      <w:r w:rsidRPr="006B237D">
        <w:rPr>
          <w:rFonts w:asciiTheme="minorHAnsi" w:hAnsiTheme="minorHAnsi" w:cstheme="minorHAnsi"/>
        </w:rPr>
        <w:t>Projekt był finansowany ze środków Unii Europejskiej w ramach Regionalnego Programu Operacyjnego. Unijne wsparcie wyniosło 196 mln złotych.</w:t>
      </w:r>
    </w:p>
    <w:p w14:paraId="5E668278" w14:textId="77777777" w:rsidR="00650C8F" w:rsidRPr="006B237D" w:rsidRDefault="00650C8F" w:rsidP="005920E3">
      <w:pPr>
        <w:ind w:firstLine="720"/>
        <w:rPr>
          <w:rFonts w:asciiTheme="minorHAnsi" w:hAnsiTheme="minorHAnsi" w:cstheme="minorHAnsi"/>
          <w:lang w:val="en-GB"/>
        </w:rPr>
      </w:pPr>
    </w:p>
    <w:sectPr w:rsidR="00650C8F" w:rsidRPr="006B237D" w:rsidSect="00650C8F">
      <w:headerReference w:type="default" r:id="rId9"/>
      <w:footerReference w:type="default" r:id="rId10"/>
      <w:pgSz w:w="11900" w:h="16840"/>
      <w:pgMar w:top="2552" w:right="851" w:bottom="1701" w:left="189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4A3F5" w14:textId="77777777" w:rsidR="00BD1EF4" w:rsidRDefault="00BD1EF4" w:rsidP="00DB19A8">
      <w:pPr>
        <w:spacing w:before="0" w:after="0" w:line="240" w:lineRule="auto"/>
      </w:pPr>
      <w:r>
        <w:separator/>
      </w:r>
    </w:p>
  </w:endnote>
  <w:endnote w:type="continuationSeparator" w:id="0">
    <w:p w14:paraId="4646D755" w14:textId="77777777" w:rsidR="00BD1EF4" w:rsidRDefault="00BD1EF4" w:rsidP="00DB19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2040503050306020203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0E60C" w14:textId="77777777" w:rsidR="00DB19A8" w:rsidRDefault="00DB19A8" w:rsidP="00650C8F">
    <w:pPr>
      <w:pStyle w:val="Stopka"/>
      <w:ind w:left="-1899"/>
    </w:pPr>
    <w:r>
      <w:rPr>
        <w:noProof/>
      </w:rPr>
      <w:drawing>
        <wp:inline distT="0" distB="0" distL="0" distR="0" wp14:anchorId="4558E35C" wp14:editId="7E170D12">
          <wp:extent cx="7556500" cy="10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giteon_n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F7CE7" w14:textId="77777777" w:rsidR="00BD1EF4" w:rsidRDefault="00BD1EF4" w:rsidP="00DB19A8">
      <w:pPr>
        <w:spacing w:before="0" w:after="0" w:line="240" w:lineRule="auto"/>
      </w:pPr>
      <w:r>
        <w:separator/>
      </w:r>
    </w:p>
  </w:footnote>
  <w:footnote w:type="continuationSeparator" w:id="0">
    <w:p w14:paraId="4DD474D4" w14:textId="77777777" w:rsidR="00BD1EF4" w:rsidRDefault="00BD1EF4" w:rsidP="00DB19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0D046" w14:textId="77777777" w:rsidR="00DB19A8" w:rsidRDefault="00DB19A8" w:rsidP="00650C8F">
    <w:pPr>
      <w:pStyle w:val="Nagwek"/>
      <w:ind w:left="-1899"/>
    </w:pPr>
    <w:r>
      <w:rPr>
        <w:noProof/>
      </w:rPr>
      <w:drawing>
        <wp:inline distT="0" distB="0" distL="0" distR="0" wp14:anchorId="61B495E8" wp14:editId="67E7DEBD">
          <wp:extent cx="7556500" cy="16129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giteon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61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A8"/>
    <w:rsid w:val="000B34DC"/>
    <w:rsid w:val="001551F2"/>
    <w:rsid w:val="001D4B86"/>
    <w:rsid w:val="001E40AC"/>
    <w:rsid w:val="003F4869"/>
    <w:rsid w:val="005920E3"/>
    <w:rsid w:val="005B109A"/>
    <w:rsid w:val="00650C8F"/>
    <w:rsid w:val="006B237D"/>
    <w:rsid w:val="00721638"/>
    <w:rsid w:val="007347D9"/>
    <w:rsid w:val="007646ED"/>
    <w:rsid w:val="007A6555"/>
    <w:rsid w:val="00813B46"/>
    <w:rsid w:val="00831AB0"/>
    <w:rsid w:val="00930172"/>
    <w:rsid w:val="00A51E2B"/>
    <w:rsid w:val="00A7438E"/>
    <w:rsid w:val="00B16C5E"/>
    <w:rsid w:val="00BB5A9A"/>
    <w:rsid w:val="00BD1EF4"/>
    <w:rsid w:val="00DB19A8"/>
    <w:rsid w:val="00F0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C2DC"/>
  <w15:chartTrackingRefBased/>
  <w15:docId w15:val="{4D6511A6-63F9-204E-82E5-8E5EFAF5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B46"/>
    <w:pPr>
      <w:spacing w:before="120" w:after="120" w:line="360" w:lineRule="auto"/>
    </w:pPr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13B4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B4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Arial" w:hAnsi="Arial"/>
      <w:color w:val="000000" w:themeColor="text1"/>
      <w:sz w:val="22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Arial" w:hAnsi="Arial"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65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650C8F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Bezodstpw">
    <w:name w:val="No Spacing"/>
    <w:uiPriority w:val="1"/>
    <w:qFormat/>
    <w:rsid w:val="00721638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56fb5-7aa4-45e0-847b-693c53a76f35" xsi:nil="true"/>
    <lcf76f155ced4ddcb4097134ff3c332f xmlns="ae98b32d-12eb-462e-a149-3f81526877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0490D93D0C744BDEB47B2F4982C0F" ma:contentTypeVersion="17" ma:contentTypeDescription="Utwórz nowy dokument." ma:contentTypeScope="" ma:versionID="8a0b41382279bfe720b239ab2c02ae54">
  <xsd:schema xmlns:xsd="http://www.w3.org/2001/XMLSchema" xmlns:xs="http://www.w3.org/2001/XMLSchema" xmlns:p="http://schemas.microsoft.com/office/2006/metadata/properties" xmlns:ns2="ae98b32d-12eb-462e-a149-3f81526877a2" xmlns:ns3="f4256fb5-7aa4-45e0-847b-693c53a76f35" targetNamespace="http://schemas.microsoft.com/office/2006/metadata/properties" ma:root="true" ma:fieldsID="2593ca0daabb70f803458c0c66c7757c" ns2:_="" ns3:_="">
    <xsd:import namespace="ae98b32d-12eb-462e-a149-3f81526877a2"/>
    <xsd:import namespace="f4256fb5-7aa4-45e0-847b-693c53a76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b32d-12eb-462e-a149-3f8152687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f511b4e-3975-49a1-a2ef-7f1de735e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56fb5-7aa4-45e0-847b-693c53a76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3af704-d80a-4e0f-ad6e-65c70f94b769}" ma:internalName="TaxCatchAll" ma:showField="CatchAllData" ma:web="f4256fb5-7aa4-45e0-847b-693c53a76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E54C9-23C7-4475-BA9A-DCF3576371EC}">
  <ds:schemaRefs>
    <ds:schemaRef ds:uri="http://schemas.microsoft.com/office/2006/metadata/properties"/>
    <ds:schemaRef ds:uri="http://schemas.microsoft.com/office/infopath/2007/PartnerControls"/>
    <ds:schemaRef ds:uri="f4256fb5-7aa4-45e0-847b-693c53a76f35"/>
    <ds:schemaRef ds:uri="ae98b32d-12eb-462e-a149-3f81526877a2"/>
  </ds:schemaRefs>
</ds:datastoreItem>
</file>

<file path=customXml/itemProps2.xml><?xml version="1.0" encoding="utf-8"?>
<ds:datastoreItem xmlns:ds="http://schemas.openxmlformats.org/officeDocument/2006/customXml" ds:itemID="{A7E23386-6441-437B-A2BF-95B4483D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8b32d-12eb-462e-a149-3f81526877a2"/>
    <ds:schemaRef ds:uri="f4256fb5-7aa4-45e0-847b-693c53a76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C27E3-9FD9-4A28-B101-4E376B47B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Piotr Koziarz | MCN Cogiteon</cp:lastModifiedBy>
  <cp:revision>11</cp:revision>
  <dcterms:created xsi:type="dcterms:W3CDTF">2019-10-23T08:29:00Z</dcterms:created>
  <dcterms:modified xsi:type="dcterms:W3CDTF">2024-04-04T14:01:00Z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0x0101002D80490D93D0C744BDEB47B2F4982C0F</vt:lpwstr>
  </property>
</Properties>
</file>